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5660B8" w:rsidRDefault="005660B8" w:rsidP="005660B8">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bCs/>
          <w:sz w:val="24"/>
          <w:szCs w:val="24"/>
        </w:rPr>
        <w:t>Innovativ bei jedem Material</w:t>
      </w:r>
    </w:p>
    <w:p w:rsidR="005660B8" w:rsidRDefault="005660B8" w:rsidP="005660B8">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br/>
      </w: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bCs/>
          <w:sz w:val="24"/>
          <w:szCs w:val="24"/>
        </w:rPr>
        <w:t xml:space="preserve">+++ Das norddeutsche Traditionsunternehmen </w:t>
      </w:r>
      <w:proofErr w:type="spellStart"/>
      <w:r>
        <w:rPr>
          <w:rFonts w:ascii="Times New Roman" w:hAnsi="Times New Roman" w:cs="Times New Roman"/>
          <w:bCs/>
          <w:sz w:val="24"/>
          <w:szCs w:val="24"/>
        </w:rPr>
        <w:t>rekord-fenster+türen</w:t>
      </w:r>
      <w:proofErr w:type="spellEnd"/>
      <w:r>
        <w:rPr>
          <w:rFonts w:ascii="Times New Roman" w:hAnsi="Times New Roman" w:cs="Times New Roman"/>
          <w:bCs/>
          <w:sz w:val="24"/>
          <w:szCs w:val="24"/>
        </w:rPr>
        <w:t xml:space="preserve"> bietet mit hochwertigen Fenstern aus Holz und Kunststoff Lösungen für jeden Anspruch. Durch individuelle Zusatzausstattungen, verschiedene Sicherheitsstufen und innovatives Design werden die in Einzelfertigung hergestellten Elemente zu echten Unikaten mit optimalen Dämmeigenschaften. +++</w:t>
      </w:r>
    </w:p>
    <w:p w:rsidR="005660B8" w:rsidRDefault="005660B8" w:rsidP="005660B8">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proofErr w:type="spellStart"/>
      <w:r>
        <w:rPr>
          <w:rFonts w:ascii="Times New Roman" w:hAnsi="Times New Roman" w:cs="Times New Roman"/>
          <w:bCs/>
          <w:sz w:val="24"/>
          <w:szCs w:val="24"/>
        </w:rPr>
        <w:t>tigna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blue</w:t>
      </w:r>
      <w:proofErr w:type="spellEnd"/>
      <w:r>
        <w:rPr>
          <w:rFonts w:ascii="Times New Roman" w:hAnsi="Times New Roman" w:cs="Times New Roman"/>
          <w:bCs/>
          <w:sz w:val="24"/>
          <w:szCs w:val="24"/>
        </w:rPr>
        <w:t xml:space="preserve"> und </w:t>
      </w:r>
      <w:proofErr w:type="spellStart"/>
      <w:r>
        <w:rPr>
          <w:rFonts w:ascii="Times New Roman" w:hAnsi="Times New Roman" w:cs="Times New Roman"/>
          <w:bCs/>
          <w:sz w:val="24"/>
          <w:szCs w:val="24"/>
        </w:rPr>
        <w:t>tigna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classik</w:t>
      </w:r>
      <w:proofErr w:type="spellEnd"/>
      <w:r>
        <w:rPr>
          <w:rFonts w:ascii="Times New Roman" w:hAnsi="Times New Roman" w:cs="Times New Roman"/>
          <w:bCs/>
          <w:sz w:val="24"/>
          <w:szCs w:val="24"/>
        </w:rPr>
        <w:t xml:space="preserve"> – Holzfenster auf höchstem Niveau</w:t>
      </w:r>
    </w:p>
    <w:p w:rsidR="005660B8" w:rsidRDefault="005660B8" w:rsidP="005660B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Mit zwei Baureihen unterschiedlicher Bautiefen bietet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ein Holzfensterprogramm, welches sich durch Vielfalt in Form, Farbe und Funktion auszeichnet. Neben dem bewährten „</w:t>
      </w:r>
      <w:proofErr w:type="spellStart"/>
      <w:r>
        <w:rPr>
          <w:rFonts w:ascii="Times New Roman" w:hAnsi="Times New Roman" w:cs="Times New Roman"/>
          <w:sz w:val="24"/>
          <w:szCs w:val="24"/>
        </w:rPr>
        <w:t>tigna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classik</w:t>
      </w:r>
      <w:proofErr w:type="spellEnd"/>
      <w:r>
        <w:rPr>
          <w:rFonts w:ascii="Times New Roman" w:hAnsi="Times New Roman" w:cs="Times New Roman"/>
          <w:sz w:val="24"/>
          <w:szCs w:val="24"/>
        </w:rPr>
        <w:t xml:space="preserve">“ (68 mm </w:t>
      </w:r>
      <w:proofErr w:type="spellStart"/>
      <w:r>
        <w:rPr>
          <w:rFonts w:ascii="Times New Roman" w:hAnsi="Times New Roman" w:cs="Times New Roman"/>
          <w:sz w:val="24"/>
          <w:szCs w:val="24"/>
        </w:rPr>
        <w:t>Bautiefe</w:t>
      </w:r>
      <w:proofErr w:type="spellEnd"/>
      <w:r>
        <w:rPr>
          <w:rFonts w:ascii="Times New Roman" w:hAnsi="Times New Roman" w:cs="Times New Roman"/>
          <w:sz w:val="24"/>
          <w:szCs w:val="24"/>
        </w:rPr>
        <w:t>) bietet das Premiumfenster „</w:t>
      </w:r>
      <w:proofErr w:type="spellStart"/>
      <w:r>
        <w:rPr>
          <w:rFonts w:ascii="Times New Roman" w:hAnsi="Times New Roman" w:cs="Times New Roman"/>
          <w:sz w:val="24"/>
          <w:szCs w:val="24"/>
        </w:rPr>
        <w:t>tigna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blue</w:t>
      </w:r>
      <w:proofErr w:type="spellEnd"/>
      <w:r>
        <w:rPr>
          <w:rFonts w:ascii="Times New Roman" w:hAnsi="Times New Roman" w:cs="Times New Roman"/>
          <w:sz w:val="24"/>
          <w:szCs w:val="24"/>
        </w:rPr>
        <w:t xml:space="preserve">“ mit 92 mm </w:t>
      </w:r>
      <w:proofErr w:type="spellStart"/>
      <w:r>
        <w:rPr>
          <w:rFonts w:ascii="Times New Roman" w:hAnsi="Times New Roman" w:cs="Times New Roman"/>
          <w:sz w:val="24"/>
          <w:szCs w:val="24"/>
        </w:rPr>
        <w:t>Bautiefe</w:t>
      </w:r>
      <w:proofErr w:type="spellEnd"/>
      <w:r>
        <w:rPr>
          <w:rFonts w:ascii="Times New Roman" w:hAnsi="Times New Roman" w:cs="Times New Roman"/>
          <w:sz w:val="24"/>
          <w:szCs w:val="24"/>
        </w:rPr>
        <w:t xml:space="preserve"> und drei Falzarten (Schräg-, Trapez- und </w:t>
      </w:r>
      <w:proofErr w:type="spellStart"/>
      <w:r>
        <w:rPr>
          <w:rFonts w:ascii="Times New Roman" w:hAnsi="Times New Roman" w:cs="Times New Roman"/>
          <w:sz w:val="24"/>
          <w:szCs w:val="24"/>
        </w:rPr>
        <w:t>Zierfalz</w:t>
      </w:r>
      <w:proofErr w:type="spellEnd"/>
      <w:r>
        <w:rPr>
          <w:rFonts w:ascii="Times New Roman" w:hAnsi="Times New Roman" w:cs="Times New Roman"/>
          <w:sz w:val="24"/>
          <w:szCs w:val="24"/>
        </w:rPr>
        <w:t xml:space="preserve">) zahlreiche Gestaltungsvarianten. Egal ob in den Holzarten </w:t>
      </w:r>
      <w:proofErr w:type="spellStart"/>
      <w:r>
        <w:rPr>
          <w:rFonts w:ascii="Times New Roman" w:hAnsi="Times New Roman" w:cs="Times New Roman"/>
          <w:sz w:val="24"/>
          <w:szCs w:val="24"/>
        </w:rPr>
        <w:t>Meranti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Matoa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Sipo</w:t>
      </w:r>
      <w:proofErr w:type="spellEnd"/>
      <w:r>
        <w:rPr>
          <w:rFonts w:ascii="Times New Roman" w:hAnsi="Times New Roman" w:cs="Times New Roman"/>
          <w:sz w:val="24"/>
          <w:szCs w:val="24"/>
        </w:rPr>
        <w:t xml:space="preserve">-Mahagoni oder Lärche – </w:t>
      </w:r>
      <w:proofErr w:type="spellStart"/>
      <w:r>
        <w:rPr>
          <w:rFonts w:ascii="Times New Roman" w:hAnsi="Times New Roman" w:cs="Times New Roman"/>
          <w:sz w:val="24"/>
          <w:szCs w:val="24"/>
        </w:rPr>
        <w:t>tigna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blue</w:t>
      </w:r>
      <w:proofErr w:type="spellEnd"/>
      <w:r>
        <w:rPr>
          <w:rFonts w:ascii="Times New Roman" w:hAnsi="Times New Roman" w:cs="Times New Roman"/>
          <w:sz w:val="24"/>
          <w:szCs w:val="24"/>
        </w:rPr>
        <w:t xml:space="preserve"> ermöglicht Glasstärken von bis zu 52 mm und somit den Einsatz von nahezu allen Funktions- und Energiespargläsern. Mit zusätzlichem </w:t>
      </w:r>
      <w:proofErr w:type="spellStart"/>
      <w:r>
        <w:rPr>
          <w:rFonts w:ascii="Times New Roman" w:hAnsi="Times New Roman" w:cs="Times New Roman"/>
          <w:sz w:val="24"/>
          <w:szCs w:val="24"/>
        </w:rPr>
        <w:t>Dämmkern</w:t>
      </w:r>
      <w:proofErr w:type="spellEnd"/>
      <w:r>
        <w:rPr>
          <w:rFonts w:ascii="Times New Roman" w:hAnsi="Times New Roman" w:cs="Times New Roman"/>
          <w:sz w:val="24"/>
          <w:szCs w:val="24"/>
        </w:rPr>
        <w:t xml:space="preserve"> und 3-fach Verglasung erreicht das Fenster einen </w:t>
      </w:r>
      <w:proofErr w:type="spellStart"/>
      <w:r>
        <w:rPr>
          <w:rFonts w:ascii="Times New Roman" w:hAnsi="Times New Roman" w:cs="Times New Roman"/>
          <w:sz w:val="24"/>
          <w:szCs w:val="24"/>
        </w:rPr>
        <w:t>Uw</w:t>
      </w:r>
      <w:proofErr w:type="spellEnd"/>
      <w:r>
        <w:rPr>
          <w:rFonts w:ascii="Times New Roman" w:hAnsi="Times New Roman" w:cs="Times New Roman"/>
          <w:sz w:val="24"/>
          <w:szCs w:val="24"/>
        </w:rPr>
        <w:t>-Wert von bis zu 0,8 W/m²K. Und auch beim Design glänzt das Holzfenster: Bereits im Standard sorgen ein formschöner Designgriff, spezielle rekord-Schließstücke und der verdeckt liegende Beschlag „</w:t>
      </w:r>
      <w:proofErr w:type="spellStart"/>
      <w:r>
        <w:rPr>
          <w:rFonts w:ascii="Times New Roman" w:hAnsi="Times New Roman" w:cs="Times New Roman"/>
          <w:sz w:val="24"/>
          <w:szCs w:val="24"/>
        </w:rPr>
        <w:t>intec</w:t>
      </w:r>
      <w:proofErr w:type="spellEnd"/>
      <w:r>
        <w:rPr>
          <w:rFonts w:ascii="Times New Roman" w:hAnsi="Times New Roman" w:cs="Times New Roman"/>
          <w:sz w:val="24"/>
          <w:szCs w:val="24"/>
        </w:rPr>
        <w:t>“ für eine harmonische Optik.</w:t>
      </w:r>
    </w:p>
    <w:p w:rsidR="005660B8" w:rsidRDefault="005660B8" w:rsidP="005660B8">
      <w:pPr>
        <w:spacing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quadro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blue</w:t>
      </w:r>
      <w:proofErr w:type="spellEnd"/>
      <w:r>
        <w:rPr>
          <w:rFonts w:ascii="Times New Roman" w:hAnsi="Times New Roman" w:cs="Times New Roman"/>
          <w:bCs/>
          <w:sz w:val="24"/>
          <w:szCs w:val="24"/>
        </w:rPr>
        <w:t xml:space="preserve"> und </w:t>
      </w:r>
      <w:proofErr w:type="spellStart"/>
      <w:r>
        <w:rPr>
          <w:rFonts w:ascii="Times New Roman" w:hAnsi="Times New Roman" w:cs="Times New Roman"/>
          <w:bCs/>
          <w:sz w:val="24"/>
          <w:szCs w:val="24"/>
        </w:rPr>
        <w:t>quadro</w:t>
      </w:r>
      <w:proofErr w:type="spellEnd"/>
      <w:r>
        <w:rPr>
          <w:rFonts w:ascii="Times New Roman" w:hAnsi="Times New Roman" w:cs="Times New Roman"/>
          <w:bCs/>
          <w:sz w:val="24"/>
          <w:szCs w:val="24"/>
        </w:rPr>
        <w:t>! plus – Mit Hightech in die Zukunft</w:t>
      </w:r>
    </w:p>
    <w:p w:rsidR="005660B8" w:rsidRDefault="005660B8" w:rsidP="005660B8">
      <w:pPr>
        <w:spacing w:line="240" w:lineRule="auto"/>
        <w:jc w:val="both"/>
        <w:rPr>
          <w:rFonts w:ascii="Times New Roman" w:hAnsi="Times New Roman" w:cs="Times New Roman"/>
          <w:sz w:val="24"/>
          <w:szCs w:val="24"/>
        </w:rPr>
      </w:pPr>
      <w:r>
        <w:rPr>
          <w:rFonts w:ascii="Times New Roman" w:hAnsi="Times New Roman" w:cs="Times New Roman"/>
          <w:sz w:val="24"/>
          <w:szCs w:val="24"/>
        </w:rPr>
        <w:t>Seit 2009 wird das 5-Kammer System „</w:t>
      </w:r>
      <w:proofErr w:type="spellStart"/>
      <w:r>
        <w:rPr>
          <w:rFonts w:ascii="Times New Roman" w:hAnsi="Times New Roman" w:cs="Times New Roman"/>
          <w:sz w:val="24"/>
          <w:szCs w:val="24"/>
        </w:rPr>
        <w:t>quadro</w:t>
      </w:r>
      <w:proofErr w:type="spellEnd"/>
      <w:r>
        <w:rPr>
          <w:rFonts w:ascii="Times New Roman" w:hAnsi="Times New Roman" w:cs="Times New Roman"/>
          <w:sz w:val="24"/>
          <w:szCs w:val="24"/>
        </w:rPr>
        <w:t>! plus“ (flächenversetzt) durch das Hightech-Profil „</w:t>
      </w:r>
      <w:proofErr w:type="spellStart"/>
      <w:r>
        <w:rPr>
          <w:rFonts w:ascii="Times New Roman" w:hAnsi="Times New Roman" w:cs="Times New Roman"/>
          <w:sz w:val="24"/>
          <w:szCs w:val="24"/>
        </w:rPr>
        <w:t>quadro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blue</w:t>
      </w:r>
      <w:proofErr w:type="spellEnd"/>
      <w:r>
        <w:rPr>
          <w:rFonts w:ascii="Times New Roman" w:hAnsi="Times New Roman" w:cs="Times New Roman"/>
          <w:sz w:val="24"/>
          <w:szCs w:val="24"/>
        </w:rPr>
        <w:t xml:space="preserve">“ aus zukunftsweisendem Faserverbundwerkstoff ergänzt. In Schrägfalz- oder Trapezfalzoptik erfüllt es bereits im Standard mit seiner Glasausstattung (1,1 W/m²K inkl. thermisch verbesserten Randverbunds) die Anforderungen der EnEV und erreicht einen </w:t>
      </w:r>
      <w:proofErr w:type="spellStart"/>
      <w:r>
        <w:rPr>
          <w:rFonts w:ascii="Times New Roman" w:hAnsi="Times New Roman" w:cs="Times New Roman"/>
          <w:sz w:val="24"/>
          <w:szCs w:val="24"/>
        </w:rPr>
        <w:t>Uw</w:t>
      </w:r>
      <w:proofErr w:type="spellEnd"/>
      <w:r>
        <w:rPr>
          <w:rFonts w:ascii="Times New Roman" w:hAnsi="Times New Roman" w:cs="Times New Roman"/>
          <w:sz w:val="24"/>
          <w:szCs w:val="24"/>
        </w:rPr>
        <w:t>-Wert von 1,2 W/m²K. Die damit einhergehende Reduzierung der Heizkosten und die Minderung des CO</w:t>
      </w:r>
      <w:r>
        <w:rPr>
          <w:rFonts w:ascii="Times New Roman" w:hAnsi="Times New Roman" w:cs="Times New Roman"/>
          <w:sz w:val="24"/>
          <w:szCs w:val="24"/>
          <w:vertAlign w:val="subscript"/>
        </w:rPr>
        <w:t>2</w:t>
      </w:r>
      <w:r>
        <w:rPr>
          <w:rFonts w:ascii="Times New Roman" w:hAnsi="Times New Roman" w:cs="Times New Roman"/>
          <w:sz w:val="24"/>
          <w:szCs w:val="24"/>
        </w:rPr>
        <w:t>-Ausstoßes lässt sich durch den Einsatz hochwertiger Dreifachverglasungen und weiterer Wärmeschutzmaßnahmen noch weiter ausbauen – je nach Ausstattung auf bis zu 0,7 W/m²K, also unter das Passivhausniveau!</w:t>
      </w:r>
    </w:p>
    <w:p w:rsidR="005660B8" w:rsidRDefault="005660B8" w:rsidP="005660B8">
      <w:pPr>
        <w:spacing w:line="240" w:lineRule="auto"/>
        <w:jc w:val="both"/>
        <w:rPr>
          <w:rFonts w:ascii="Times New Roman" w:hAnsi="Times New Roman" w:cs="Times New Roman"/>
          <w:sz w:val="24"/>
          <w:szCs w:val="24"/>
        </w:rPr>
      </w:pPr>
      <w:r>
        <w:rPr>
          <w:rFonts w:ascii="Times New Roman" w:hAnsi="Times New Roman" w:cs="Times New Roman"/>
          <w:sz w:val="24"/>
          <w:szCs w:val="24"/>
        </w:rPr>
        <w:t>Bei der Sicherheit verfügt „</w:t>
      </w:r>
      <w:proofErr w:type="spellStart"/>
      <w:r>
        <w:rPr>
          <w:rFonts w:ascii="Times New Roman" w:hAnsi="Times New Roman" w:cs="Times New Roman"/>
          <w:sz w:val="24"/>
          <w:szCs w:val="24"/>
        </w:rPr>
        <w:t>quadro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blue</w:t>
      </w:r>
      <w:proofErr w:type="spellEnd"/>
      <w:r>
        <w:rPr>
          <w:rFonts w:ascii="Times New Roman" w:hAnsi="Times New Roman" w:cs="Times New Roman"/>
          <w:sz w:val="24"/>
          <w:szCs w:val="24"/>
        </w:rPr>
        <w:t xml:space="preserve">“ bereits in der Basisausstattung über einen hohen </w:t>
      </w:r>
      <w:proofErr w:type="spellStart"/>
      <w:r>
        <w:rPr>
          <w:rFonts w:ascii="Times New Roman" w:hAnsi="Times New Roman" w:cs="Times New Roman"/>
          <w:sz w:val="24"/>
          <w:szCs w:val="24"/>
        </w:rPr>
        <w:t>Aufhebelschutz</w:t>
      </w:r>
      <w:proofErr w:type="spellEnd"/>
      <w:r>
        <w:rPr>
          <w:rFonts w:ascii="Times New Roman" w:hAnsi="Times New Roman" w:cs="Times New Roman"/>
          <w:sz w:val="24"/>
          <w:szCs w:val="24"/>
        </w:rPr>
        <w:t xml:space="preserve"> durch zwei besonders gesicherte Ecken und die „</w:t>
      </w:r>
      <w:proofErr w:type="spellStart"/>
      <w:r>
        <w:rPr>
          <w:rFonts w:ascii="Times New Roman" w:hAnsi="Times New Roman" w:cs="Times New Roman"/>
          <w:sz w:val="24"/>
          <w:szCs w:val="24"/>
        </w:rPr>
        <w:t>secustik</w:t>
      </w:r>
      <w:proofErr w:type="spellEnd"/>
      <w:r>
        <w:rPr>
          <w:rFonts w:ascii="Times New Roman" w:hAnsi="Times New Roman" w:cs="Times New Roman"/>
          <w:sz w:val="24"/>
          <w:szCs w:val="24"/>
        </w:rPr>
        <w:t xml:space="preserve">“-Olive – selbstverständlich aufrüstbar bis zur </w:t>
      </w:r>
      <w:proofErr w:type="spellStart"/>
      <w:r>
        <w:rPr>
          <w:rFonts w:ascii="Times New Roman" w:hAnsi="Times New Roman" w:cs="Times New Roman"/>
          <w:sz w:val="24"/>
          <w:szCs w:val="24"/>
        </w:rPr>
        <w:t>Beschlagsausstattung</w:t>
      </w:r>
      <w:proofErr w:type="spellEnd"/>
      <w:r>
        <w:rPr>
          <w:rFonts w:ascii="Times New Roman" w:hAnsi="Times New Roman" w:cs="Times New Roman"/>
          <w:sz w:val="24"/>
          <w:szCs w:val="24"/>
        </w:rPr>
        <w:t xml:space="preserve"> gemäß RC2 (wie alle Fensterbaureihen von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65170"/>
    <w:rsid w:val="003732A0"/>
    <w:rsid w:val="00375FF2"/>
    <w:rsid w:val="003A1193"/>
    <w:rsid w:val="00425DC0"/>
    <w:rsid w:val="004263B4"/>
    <w:rsid w:val="00442250"/>
    <w:rsid w:val="00467FF1"/>
    <w:rsid w:val="00494F2F"/>
    <w:rsid w:val="004A1F4C"/>
    <w:rsid w:val="004A5E0D"/>
    <w:rsid w:val="004C5CEA"/>
    <w:rsid w:val="0050175C"/>
    <w:rsid w:val="005660B8"/>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937259">
      <w:bodyDiv w:val="1"/>
      <w:marLeft w:val="0"/>
      <w:marRight w:val="0"/>
      <w:marTop w:val="0"/>
      <w:marBottom w:val="0"/>
      <w:divBdr>
        <w:top w:val="none" w:sz="0" w:space="0" w:color="auto"/>
        <w:left w:val="none" w:sz="0" w:space="0" w:color="auto"/>
        <w:bottom w:val="none" w:sz="0" w:space="0" w:color="auto"/>
        <w:right w:val="none" w:sz="0" w:space="0" w:color="auto"/>
      </w:divBdr>
    </w:div>
    <w:div w:id="174510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2222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2017-08-30T12:09:00Z</dcterms:created>
  <dcterms:modified xsi:type="dcterms:W3CDTF">2017-08-30T12:09:00Z</dcterms:modified>
</cp:coreProperties>
</file>